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3A8F8" w14:textId="77777777" w:rsidR="00D74578" w:rsidRPr="00D74578" w:rsidRDefault="00D74578" w:rsidP="00D7457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D0D0D"/>
          <w:kern w:val="36"/>
          <w:sz w:val="24"/>
          <w:szCs w:val="24"/>
          <w:lang w:eastAsia="pt-BR"/>
        </w:rPr>
      </w:pPr>
      <w:r w:rsidRPr="00D74578">
        <w:rPr>
          <w:rFonts w:ascii="Arial" w:eastAsia="Times New Roman" w:hAnsi="Arial" w:cs="Arial"/>
          <w:b/>
          <w:bCs/>
          <w:color w:val="0D0D0D"/>
          <w:kern w:val="36"/>
          <w:sz w:val="24"/>
          <w:szCs w:val="24"/>
          <w:lang w:eastAsia="pt-BR"/>
        </w:rPr>
        <w:t>ATA DA REUNIÃO DO GRUPO DE ACOMPANHAMENTO (GA)</w:t>
      </w:r>
    </w:p>
    <w:p w14:paraId="15262C4E" w14:textId="77777777" w:rsidR="00D74578" w:rsidRPr="00D74578" w:rsidRDefault="00D74578" w:rsidP="00D7457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pt-BR"/>
        </w:rPr>
        <w:t>Data:</w:t>
      </w: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 11 de agosto de 2026</w:t>
      </w: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br/>
      </w:r>
      <w:r w:rsidRPr="00D74578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pt-BR"/>
        </w:rPr>
        <w:t>Horário de início:</w:t>
      </w: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 21h11</w:t>
      </w: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br/>
      </w:r>
      <w:r w:rsidRPr="00D74578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pt-BR"/>
        </w:rPr>
        <w:t>Duração:</w:t>
      </w: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 1 hora, 57 minutos e 41 segundos</w:t>
      </w: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br/>
      </w:r>
      <w:r w:rsidRPr="00D74578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pt-BR"/>
        </w:rPr>
        <w:t>Modalidade:</w:t>
      </w: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 Virtual</w:t>
      </w:r>
    </w:p>
    <w:p w14:paraId="747E69A0" w14:textId="77777777" w:rsidR="00D74578" w:rsidRPr="00D74578" w:rsidRDefault="00D74578" w:rsidP="00C372C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pt-BR"/>
        </w:rPr>
        <w:t>Participantes:</w:t>
      </w: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 </w:t>
      </w:r>
      <w:proofErr w:type="spellStart"/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Charliston</w:t>
      </w:r>
      <w:proofErr w:type="spellEnd"/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Marques Moreira (Agência); Lucas Sousa Lima (Agência); Frederico Lima Pessanha Vittori (Agência); Fernanda Lobo (Agência); Newton (Agência); Philippe Amaral (Executivo); Alan de Assunção Valadares (Executivo); </w:t>
      </w:r>
      <w:proofErr w:type="spellStart"/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Jussimara</w:t>
      </w:r>
      <w:proofErr w:type="spellEnd"/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(Legislativo); e Breno Oliveira (Sociedade Civil).</w:t>
      </w:r>
    </w:p>
    <w:p w14:paraId="30A70F4B" w14:textId="77777777" w:rsidR="00D74578" w:rsidRPr="00D74578" w:rsidRDefault="00D74578" w:rsidP="00D74578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</w:pPr>
      <w:r w:rsidRPr="00D74578"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  <w:t>1. Abertura e alinhamento dos trabalhos</w:t>
      </w:r>
    </w:p>
    <w:p w14:paraId="140286F1" w14:textId="77777777" w:rsidR="00D74578" w:rsidRPr="00D74578" w:rsidRDefault="00D74578" w:rsidP="00C372C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A reunião foi iniciada por </w:t>
      </w:r>
      <w:proofErr w:type="spellStart"/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Charliston</w:t>
      </w:r>
      <w:proofErr w:type="spellEnd"/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Marques Moreira, que retomou os encaminhamentos estabelecidos nas reuniões anteriores e destacou que a Agência havia disponibilizado aos integrantes do Grupo de Acompanhamento oito mapas contendo informações geofísicas e ambientais do território de Prudente de Morais.</w:t>
      </w:r>
    </w:p>
    <w:p w14:paraId="3FFF8519" w14:textId="77777777" w:rsidR="00D74578" w:rsidRPr="00D74578" w:rsidRDefault="00D74578" w:rsidP="00C372C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Foi esclarecido que o objetivo da reunião seria promover um nivelamento técnico entre os integrantes do Grupo, mediante a análise individualizada dos mapas e das principais condicionantes incidentes sobre o território, sem a necessidade de conclusão imediata acerca das delimitações políticas das macrozonas.</w:t>
      </w:r>
    </w:p>
    <w:p w14:paraId="48A1D6BD" w14:textId="77777777" w:rsidR="00D74578" w:rsidRPr="00D74578" w:rsidRDefault="00D74578" w:rsidP="00C372C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Ficou acordado que os mapas seriam analisados de forma sequencial, permitindo o esclarecimento das informações técnicas e a identificação dos principais conflitos e potencialidades territoriais que deverão subsidiar as etapas seguintes do processo de macrozoneamento.</w:t>
      </w:r>
    </w:p>
    <w:p w14:paraId="03B7F585" w14:textId="77777777" w:rsidR="00D74578" w:rsidRPr="00D74578" w:rsidRDefault="00D74578" w:rsidP="00D74578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</w:pPr>
      <w:r w:rsidRPr="00D74578"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  <w:t>2. Apresentação técnica dos dados territoriais</w:t>
      </w:r>
    </w:p>
    <w:p w14:paraId="43528F29" w14:textId="77777777" w:rsidR="00D74578" w:rsidRPr="00D74578" w:rsidRDefault="00D74578" w:rsidP="00C372C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Lucas Sousa Lima conduziu a apresentação dos dados territoriais e das camadas técnicas disponibilizadas pela Agência.</w:t>
      </w:r>
    </w:p>
    <w:p w14:paraId="514AF94D" w14:textId="77777777" w:rsidR="00D74578" w:rsidRPr="00D74578" w:rsidRDefault="00D74578" w:rsidP="00C372C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Inicialmente, foram apresentados os dados gerais referentes às áreas propostas, destacando-se aproximadamente </w:t>
      </w:r>
      <w:r w:rsidRPr="00D74578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pt-BR"/>
        </w:rPr>
        <w:t>607 hectares (6 km²) para a zona urbana</w:t>
      </w: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, aproximadamente </w:t>
      </w:r>
      <w:r w:rsidRPr="00D74578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pt-BR"/>
        </w:rPr>
        <w:t>1.011 hectares (10 km²) para a zona de expansão urbana</w:t>
      </w: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 e aproximadamente </w:t>
      </w:r>
      <w:r w:rsidRPr="00D74578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pt-BR"/>
        </w:rPr>
        <w:t>10.813 hectares (108 km²) correspondentes à zona rural</w:t>
      </w: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, que representa a maior parcela do território municipal.</w:t>
      </w:r>
    </w:p>
    <w:p w14:paraId="444ADDE8" w14:textId="77777777" w:rsidR="00D74578" w:rsidRPr="00D74578" w:rsidRDefault="00D74578" w:rsidP="00D74578">
      <w:pPr>
        <w:shd w:val="clear" w:color="auto" w:fill="FFFFFF"/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27"/>
          <w:szCs w:val="27"/>
          <w:lang w:eastAsia="pt-BR"/>
        </w:rPr>
      </w:pPr>
      <w:r w:rsidRPr="00D74578">
        <w:rPr>
          <w:rFonts w:ascii="Segoe UI" w:eastAsia="Times New Roman" w:hAnsi="Segoe UI" w:cs="Segoe UI"/>
          <w:b/>
          <w:bCs/>
          <w:color w:val="0D0D0D"/>
          <w:sz w:val="27"/>
          <w:szCs w:val="27"/>
          <w:lang w:eastAsia="pt-BR"/>
        </w:rPr>
        <w:t>2.1. Cadastro Ambiental Rural e Áreas de Preservação Permanente</w:t>
      </w:r>
    </w:p>
    <w:p w14:paraId="072FEC72" w14:textId="77777777" w:rsidR="00D74578" w:rsidRPr="00D74578" w:rsidRDefault="00D74578" w:rsidP="00C372C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Durante a apresentação, Lucas Sousa Lima esclareceu que as Áreas de Preservação Permanente (</w:t>
      </w:r>
      <w:proofErr w:type="spellStart"/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APPs</w:t>
      </w:r>
      <w:proofErr w:type="spellEnd"/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) apresentadas nos mapas foram identificadas com base nas informações disponíveis no </w:t>
      </w:r>
      <w:r w:rsidRPr="00D74578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pt-BR"/>
        </w:rPr>
        <w:t>Cadastro Ambiental Rural (CAR)</w:t>
      </w: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, destacando-se que esse cadastro possui natureza </w:t>
      </w:r>
      <w:proofErr w:type="spellStart"/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autodeclaratória</w:t>
      </w:r>
      <w:proofErr w:type="spellEnd"/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e, portanto, pode apresentar inconsistências ou imprecisões.</w:t>
      </w:r>
    </w:p>
    <w:p w14:paraId="548E78C0" w14:textId="77777777" w:rsidR="00D74578" w:rsidRPr="00D74578" w:rsidRDefault="00D74578" w:rsidP="00C372C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Fernanda Lobo ressaltou a necessidade de cautela na utilização dessas informações, destacando que as áreas caracterizadas legalmente como APP possuem proteção ambiental específica e que as restrições decorrentes da legislação ambiental devem ser observadas independentemente de a área estar inserida em perímetro urbano ou rural.</w:t>
      </w:r>
    </w:p>
    <w:p w14:paraId="78BB4573" w14:textId="77777777" w:rsidR="00D74578" w:rsidRPr="00D74578" w:rsidRDefault="00D74578" w:rsidP="00C372C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lastRenderedPageBreak/>
        <w:t>O Grupo reconheceu, assim, a necessidade de que as informações provenientes do CAR sejam utilizadas como camada de referência e confrontadas com os demais dados técnicos e legais aplicáveis ao território.</w:t>
      </w:r>
    </w:p>
    <w:p w14:paraId="4364359A" w14:textId="77777777" w:rsidR="00D74578" w:rsidRPr="00D74578" w:rsidRDefault="00D74578" w:rsidP="00D74578">
      <w:pPr>
        <w:shd w:val="clear" w:color="auto" w:fill="FFFFFF"/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27"/>
          <w:szCs w:val="27"/>
          <w:lang w:eastAsia="pt-BR"/>
        </w:rPr>
      </w:pPr>
      <w:r w:rsidRPr="00D74578">
        <w:rPr>
          <w:rFonts w:ascii="Segoe UI" w:eastAsia="Times New Roman" w:hAnsi="Segoe UI" w:cs="Segoe UI"/>
          <w:b/>
          <w:bCs/>
          <w:color w:val="0D0D0D"/>
          <w:sz w:val="27"/>
          <w:szCs w:val="27"/>
          <w:lang w:eastAsia="pt-BR"/>
        </w:rPr>
        <w:t>2.2. Reserva Legal</w:t>
      </w:r>
    </w:p>
    <w:p w14:paraId="76693347" w14:textId="77777777" w:rsidR="00D74578" w:rsidRPr="00D74578" w:rsidRDefault="00D74578" w:rsidP="00C372C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Na análise das áreas de Reserva Legal, Fernanda Lobo esclareceu que a eventual transformação de uma área rural que contenha Reserva Legal em área urbana não implica, por si só, a imediata extinção das obrigações ambientais incidentes sobre o imóvel.</w:t>
      </w:r>
    </w:p>
    <w:p w14:paraId="3CE11EEF" w14:textId="77777777" w:rsidR="00D74578" w:rsidRPr="00D74578" w:rsidRDefault="00D74578" w:rsidP="00C372C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Foi ressaltado que eventual parcelamento do solo deverá observar as exigências legais e depender da aprovação formal do projeto urbanístico pelos órgãos competentes.</w:t>
      </w:r>
    </w:p>
    <w:p w14:paraId="236C7F48" w14:textId="77777777" w:rsidR="00D74578" w:rsidRPr="00D74578" w:rsidRDefault="00D74578" w:rsidP="00C372C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Como possibilidade de planejamento territorial e ambiental, Fernanda sugeriu que glebas de relevante interesse ambiental sejam avaliadas para eventual destinação como </w:t>
      </w:r>
      <w:r w:rsidRPr="00D74578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pt-BR"/>
        </w:rPr>
        <w:t>áreas verdes institucionais</w:t>
      </w: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, de forma a contribuir para a proteção ambiental e para a estruturação urbana futura.</w:t>
      </w:r>
    </w:p>
    <w:p w14:paraId="145BB970" w14:textId="77777777" w:rsidR="00D74578" w:rsidRPr="00D74578" w:rsidRDefault="00D74578" w:rsidP="00D74578">
      <w:pPr>
        <w:shd w:val="clear" w:color="auto" w:fill="FFFFFF"/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27"/>
          <w:szCs w:val="27"/>
          <w:lang w:eastAsia="pt-BR"/>
        </w:rPr>
      </w:pPr>
      <w:r w:rsidRPr="00D74578">
        <w:rPr>
          <w:rFonts w:ascii="Segoe UI" w:eastAsia="Times New Roman" w:hAnsi="Segoe UI" w:cs="Segoe UI"/>
          <w:b/>
          <w:bCs/>
          <w:color w:val="0D0D0D"/>
          <w:sz w:val="27"/>
          <w:szCs w:val="27"/>
          <w:lang w:eastAsia="pt-BR"/>
        </w:rPr>
        <w:t>2.3. Reserva da Biosfera da Mata Atlântica</w:t>
      </w:r>
    </w:p>
    <w:p w14:paraId="1DE5ADB8" w14:textId="77777777" w:rsidR="00D74578" w:rsidRPr="00D74578" w:rsidRDefault="00D74578" w:rsidP="00C372C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Na sequência, foi apresentado o cruzamento do território municipal com a área relacionada à </w:t>
      </w:r>
      <w:r w:rsidRPr="00D74578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pt-BR"/>
        </w:rPr>
        <w:t>Reserva da Biosfera da Mata Atlântica</w:t>
      </w: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, com destaque para as áreas de amortecimento e de transição localizadas especialmente na região de fronteira com o município de Matozinhos.</w:t>
      </w:r>
    </w:p>
    <w:p w14:paraId="0F462FE2" w14:textId="77777777" w:rsidR="00D74578" w:rsidRPr="00D74578" w:rsidRDefault="00D74578" w:rsidP="00C372C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Foi discutido que eventual expansão urbana em direção a essa faixa territorial deverá observar restrições ambientais relevantes decorrentes da legislação aplicável à proteção da Mata Atlântica.</w:t>
      </w:r>
    </w:p>
    <w:p w14:paraId="12A7A1E2" w14:textId="77777777" w:rsidR="00D74578" w:rsidRPr="00D74578" w:rsidRDefault="00D74578" w:rsidP="00C372C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Também foi destacada a proximidade da zona de expansão proposta com a </w:t>
      </w:r>
      <w:r w:rsidRPr="00D74578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pt-BR"/>
        </w:rPr>
        <w:t>RPPN Capão das Éguas</w:t>
      </w: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, identificada como a unidade de conservação de proteção integral existente no território municipal, ressaltando-se a necessidade de adoção de medidas de proteção e compatibilização territorial em seu entorno.</w:t>
      </w:r>
    </w:p>
    <w:p w14:paraId="43FA1818" w14:textId="77777777" w:rsidR="00D74578" w:rsidRPr="00D74578" w:rsidRDefault="00D74578" w:rsidP="00D74578">
      <w:pPr>
        <w:shd w:val="clear" w:color="auto" w:fill="FFFFFF"/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27"/>
          <w:szCs w:val="27"/>
          <w:lang w:eastAsia="pt-BR"/>
        </w:rPr>
      </w:pPr>
      <w:r w:rsidRPr="00D74578">
        <w:rPr>
          <w:rFonts w:ascii="Segoe UI" w:eastAsia="Times New Roman" w:hAnsi="Segoe UI" w:cs="Segoe UI"/>
          <w:b/>
          <w:bCs/>
          <w:color w:val="0D0D0D"/>
          <w:sz w:val="27"/>
          <w:szCs w:val="27"/>
          <w:lang w:eastAsia="pt-BR"/>
        </w:rPr>
        <w:t xml:space="preserve">2.4. Geologia, cavidades e relevo </w:t>
      </w:r>
      <w:proofErr w:type="spellStart"/>
      <w:r w:rsidRPr="00D74578">
        <w:rPr>
          <w:rFonts w:ascii="Segoe UI" w:eastAsia="Times New Roman" w:hAnsi="Segoe UI" w:cs="Segoe UI"/>
          <w:b/>
          <w:bCs/>
          <w:color w:val="0D0D0D"/>
          <w:sz w:val="27"/>
          <w:szCs w:val="27"/>
          <w:lang w:eastAsia="pt-BR"/>
        </w:rPr>
        <w:t>cárstico</w:t>
      </w:r>
      <w:proofErr w:type="spellEnd"/>
    </w:p>
    <w:p w14:paraId="6C7B2503" w14:textId="77777777" w:rsidR="00D74578" w:rsidRPr="00D74578" w:rsidRDefault="00D74578" w:rsidP="00C372C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A análise dos dados geológicos, com base nas informações do Serviço Geológico do Brasil (SGB/CPRM), indicou que parcela predominante do território municipal está assentada sobre formações de </w:t>
      </w:r>
      <w:proofErr w:type="spellStart"/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calcarenito</w:t>
      </w:r>
      <w:proofErr w:type="spellEnd"/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e </w:t>
      </w:r>
      <w:proofErr w:type="spellStart"/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calcissiltito</w:t>
      </w:r>
      <w:proofErr w:type="spellEnd"/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.</w:t>
      </w:r>
    </w:p>
    <w:p w14:paraId="4B47CB31" w14:textId="77777777" w:rsidR="00D74578" w:rsidRPr="00D74578" w:rsidRDefault="00D74578" w:rsidP="00C372C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Foi explicado que essas formações geológicas são associadas a ambientes </w:t>
      </w:r>
      <w:proofErr w:type="spellStart"/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cársticos</w:t>
      </w:r>
      <w:proofErr w:type="spellEnd"/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e podem apresentar riscos relacionados à subsidência, ocorrência de dolinas, instabilidade do terreno e possível vulnerabilidade dos aquíferos.</w:t>
      </w:r>
    </w:p>
    <w:p w14:paraId="1C4AEE3F" w14:textId="77777777" w:rsidR="00D74578" w:rsidRPr="00D74578" w:rsidRDefault="00D74578" w:rsidP="00C372C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Também foi identificada concentração significativa de cavidades catalogadas, especialmente em faixas no sentido norte-sul e na porção leste do município.</w:t>
      </w:r>
    </w:p>
    <w:p w14:paraId="01A29964" w14:textId="77777777" w:rsidR="00D74578" w:rsidRPr="00D74578" w:rsidRDefault="00D74578" w:rsidP="00C372C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Durante a discussão, foi ressaltada a existência de área de proteção legal no entorno das cavidades, tendo sido mencionada a referência de </w:t>
      </w:r>
      <w:r w:rsidRPr="00D74578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pt-BR"/>
        </w:rPr>
        <w:t>raio de 250 metros</w:t>
      </w: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 para análise e proteção das cavidades identificadas, devendo os parâmetros aplicáveis ser verificados conforme a legislação específica e as características de cada ocorrência.</w:t>
      </w:r>
    </w:p>
    <w:p w14:paraId="55E35523" w14:textId="77777777" w:rsidR="00D74578" w:rsidRPr="00D74578" w:rsidRDefault="00D74578" w:rsidP="00C372C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Newton e Frederico Lima Pessanha Vittori destacaram que as características do solo </w:t>
      </w:r>
      <w:proofErr w:type="spellStart"/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cárstico</w:t>
      </w:r>
      <w:proofErr w:type="spellEnd"/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podem gerar impactos relevantes para a implantação de infraestrutura e edificações, demandando estudos, licenciamentos ambientais e soluções de engenharia específicas, inclusive para fundações. Foi ressaltado que essas condições podem elevar significativamente os custos de obras públicas e privadas e influenciar a viabilidade econômica da ocupação de determinadas áreas.</w:t>
      </w:r>
    </w:p>
    <w:p w14:paraId="0D460852" w14:textId="77777777" w:rsidR="00D74578" w:rsidRPr="00D74578" w:rsidRDefault="00D74578" w:rsidP="00D74578">
      <w:pPr>
        <w:shd w:val="clear" w:color="auto" w:fill="FFFFFF"/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27"/>
          <w:szCs w:val="27"/>
          <w:lang w:eastAsia="pt-BR"/>
        </w:rPr>
      </w:pPr>
      <w:r w:rsidRPr="00D74578">
        <w:rPr>
          <w:rFonts w:ascii="Segoe UI" w:eastAsia="Times New Roman" w:hAnsi="Segoe UI" w:cs="Segoe UI"/>
          <w:b/>
          <w:bCs/>
          <w:color w:val="0D0D0D"/>
          <w:sz w:val="27"/>
          <w:szCs w:val="27"/>
          <w:lang w:eastAsia="pt-BR"/>
        </w:rPr>
        <w:t>2.5. Declividade</w:t>
      </w:r>
    </w:p>
    <w:p w14:paraId="52B9E03E" w14:textId="77777777" w:rsidR="00D74578" w:rsidRPr="00D74578" w:rsidRDefault="00D74578" w:rsidP="00C372C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Na análise da declividade, foi observado que determinadas áreas situadas principalmente na porção leste do município apresentam relevo forte ondulado e montanhoso, com declividades indicadas na faixa aproximada de </w:t>
      </w:r>
      <w:r w:rsidRPr="00D74578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pt-BR"/>
        </w:rPr>
        <w:t>20% a 45%</w:t>
      </w: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.</w:t>
      </w:r>
    </w:p>
    <w:p w14:paraId="3FDC9C0A" w14:textId="77777777" w:rsidR="00D74578" w:rsidRPr="00D74578" w:rsidRDefault="00D74578" w:rsidP="00C372C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O Grupo discutiu que essas características do relevo podem gerar restrições à ocupação e ao parcelamento do solo, especialmente diante das diretrizes e condicionantes aplicáveis ao território da Região Metropolitana de Belo Horizonte (RMBH).</w:t>
      </w:r>
    </w:p>
    <w:p w14:paraId="0D5B0C98" w14:textId="77777777" w:rsidR="00D74578" w:rsidRPr="00D74578" w:rsidRDefault="00D74578" w:rsidP="00C372C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Foi ressaltada a necessidade de que os parâmetros de declividade sejam considerados conjuntamente com as demais condicionantes ambientais, geológicas e urbanísticas antes da definição das áreas de expansão.</w:t>
      </w:r>
    </w:p>
    <w:p w14:paraId="78FED857" w14:textId="77777777" w:rsidR="00D74578" w:rsidRPr="00D74578" w:rsidRDefault="00D74578" w:rsidP="00D74578">
      <w:pPr>
        <w:shd w:val="clear" w:color="auto" w:fill="FFFFFF"/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27"/>
          <w:szCs w:val="27"/>
          <w:lang w:eastAsia="pt-BR"/>
        </w:rPr>
      </w:pPr>
      <w:r w:rsidRPr="00D74578">
        <w:rPr>
          <w:rFonts w:ascii="Segoe UI" w:eastAsia="Times New Roman" w:hAnsi="Segoe UI" w:cs="Segoe UI"/>
          <w:b/>
          <w:bCs/>
          <w:color w:val="0D0D0D"/>
          <w:sz w:val="27"/>
          <w:szCs w:val="27"/>
          <w:lang w:eastAsia="pt-BR"/>
        </w:rPr>
        <w:t>2.6. Processos minerários</w:t>
      </w:r>
    </w:p>
    <w:p w14:paraId="63BE797D" w14:textId="77777777" w:rsidR="00D74578" w:rsidRPr="00D74578" w:rsidRDefault="00D74578" w:rsidP="00C372C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Fernanda Lobo apresentou, ainda, a existência de diversos polígonos relacionados a requerimentos e concessões de lavra ativos nas áreas consideradas na proposta de expansão.</w:t>
      </w:r>
    </w:p>
    <w:p w14:paraId="1D47A23B" w14:textId="77777777" w:rsidR="00D74578" w:rsidRPr="00D74578" w:rsidRDefault="00D74578" w:rsidP="00C372C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Foi discutida a existência de possível conflito entre as atividades minerárias e a destinação urbana pretendida para determinadas áreas, considerando as características e os requisitos aplicáveis às atividades de mineração.</w:t>
      </w:r>
    </w:p>
    <w:p w14:paraId="60276189" w14:textId="77777777" w:rsidR="00D74578" w:rsidRPr="00D74578" w:rsidRDefault="00D74578" w:rsidP="00C372C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Diante disso, o Grupo reconheceu a necessidade de compatibilizar os processos minerários existentes com o planejamento territorial e o futuro zoneamento, evitando sobreposições que possam gerar conflitos de uso e ocupação do solo.</w:t>
      </w:r>
    </w:p>
    <w:p w14:paraId="61D5B622" w14:textId="77777777" w:rsidR="00D74578" w:rsidRPr="00D74578" w:rsidRDefault="00D74578" w:rsidP="00D74578">
      <w:pPr>
        <w:shd w:val="clear" w:color="auto" w:fill="FFFFFF"/>
        <w:spacing w:after="0" w:line="240" w:lineRule="auto"/>
        <w:outlineLvl w:val="1"/>
        <w:rPr>
          <w:rFonts w:ascii="Segoe UI" w:eastAsia="Times New Roman" w:hAnsi="Segoe UI" w:cs="Segoe UI"/>
          <w:b/>
          <w:bCs/>
          <w:color w:val="0D0D0D"/>
          <w:sz w:val="36"/>
          <w:szCs w:val="36"/>
          <w:lang w:eastAsia="pt-BR"/>
        </w:rPr>
      </w:pPr>
      <w:r w:rsidRPr="00D74578">
        <w:rPr>
          <w:rFonts w:ascii="Segoe UI" w:eastAsia="Times New Roman" w:hAnsi="Segoe UI" w:cs="Segoe UI"/>
          <w:b/>
          <w:bCs/>
          <w:color w:val="0D0D0D"/>
          <w:sz w:val="36"/>
          <w:szCs w:val="36"/>
          <w:lang w:eastAsia="pt-BR"/>
        </w:rPr>
        <w:t>3. Posicionamentos e debate do Grupo</w:t>
      </w:r>
    </w:p>
    <w:p w14:paraId="5EB92FBC" w14:textId="77777777" w:rsidR="00D74578" w:rsidRPr="00D74578" w:rsidRDefault="00D74578" w:rsidP="00C372C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Após a apresentação das diferentes camadas técnicas, Philippe Amaral avaliou que o conjunto de restrições identificadas na porção leste do município reduz significativamente a viabilidade da expansão urbana naquela direção, conforme originalmente concebida.</w:t>
      </w:r>
    </w:p>
    <w:p w14:paraId="01692308" w14:textId="77777777" w:rsidR="00D74578" w:rsidRPr="00D74578" w:rsidRDefault="00D74578" w:rsidP="00C372C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Philippe sugeriu que os esforços de planejamento sejam redirecionados ou que sejam estabelecidos parâmetros construtivos e urbanísticos mais rigorosos para as áreas que apresentem maior grau de restrição.</w:t>
      </w:r>
    </w:p>
    <w:p w14:paraId="39719451" w14:textId="77777777" w:rsidR="00D74578" w:rsidRPr="00D74578" w:rsidRDefault="00D74578" w:rsidP="00C372C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Também foi registrada preocupação quanto à ausência, na reunião, de Rafaela, representante da área de Meio Ambiente, e de Isadora Vila Nova, coordenadora, ressaltando-se a importância da participação e do posicionamento técnico dessas representantes nas próximas etapas do processo.</w:t>
      </w:r>
    </w:p>
    <w:p w14:paraId="5553B9EC" w14:textId="77777777" w:rsidR="00D74578" w:rsidRPr="00D74578" w:rsidRDefault="00D74578" w:rsidP="00C372C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Fernanda Lobo e Frederico Lima Pessanha Vittori esclareceram que a identificação das restrições não significa necessariamente o impedimento absoluto de crescimento ou ocupação de todo o território municipal. Segundo a discussão, as informações levantadas podem subsidiar uma </w:t>
      </w:r>
      <w:r w:rsidRPr="00D74578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pt-BR"/>
        </w:rPr>
        <w:t>setorização interna da área de expansão urbana</w:t>
      </w: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, diferenciando áreas segundo seu grau de aptidão e restrição.</w:t>
      </w:r>
    </w:p>
    <w:p w14:paraId="08107784" w14:textId="77777777" w:rsidR="00D74578" w:rsidRPr="00D74578" w:rsidRDefault="00D74578" w:rsidP="00C372C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Foi aventada, nesse sentido, a possibilidade de estabelecer categorias ou setores de </w:t>
      </w:r>
      <w:r w:rsidRPr="00D74578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pt-BR"/>
        </w:rPr>
        <w:t>expansão prioritária, expansão condicionada e áreas restritas</w:t>
      </w: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, mediante a adoção de parâmetros urbanísticos específicos no âmbito do Plano Diretor.</w:t>
      </w:r>
    </w:p>
    <w:p w14:paraId="7AC5C230" w14:textId="77777777" w:rsidR="00D74578" w:rsidRPr="00D74578" w:rsidRDefault="00D74578" w:rsidP="00C372C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O Grupo considerou que essa abordagem poderá permitir maior compatibilização entre os objetivos de desenvolvimento urbano, a proteção ambiental, as condições geotécnicas e as demais características do território.</w:t>
      </w:r>
    </w:p>
    <w:p w14:paraId="0FB7B755" w14:textId="77777777" w:rsidR="00D74578" w:rsidRPr="00D74578" w:rsidRDefault="00D74578" w:rsidP="00D74578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</w:pPr>
      <w:r w:rsidRPr="00D74578"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  <w:t>4. Encaminhamentos e deliberações</w:t>
      </w:r>
    </w:p>
    <w:p w14:paraId="1600F027" w14:textId="77777777" w:rsidR="00D74578" w:rsidRPr="00D74578" w:rsidRDefault="00D74578" w:rsidP="00C372C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Ao final das discussões, foram definidos os seguintes encaminhamentos:</w:t>
      </w:r>
    </w:p>
    <w:p w14:paraId="3D09CB74" w14:textId="77777777" w:rsidR="00D74578" w:rsidRPr="00D74578" w:rsidRDefault="00D74578" w:rsidP="00C372C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pt-BR"/>
        </w:rPr>
        <w:t>Articulação com o Executivo:</w:t>
      </w: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 o Executivo deverá reforçar a necessidade de participação ativa da coordenadora Isadora Vila Nova e dos técnicos responsáveis pela área de Meio Ambiente nas próximas etapas de análise e validação das propostas.</w:t>
      </w:r>
    </w:p>
    <w:p w14:paraId="3BCEFF53" w14:textId="77777777" w:rsidR="00D74578" w:rsidRPr="00D74578" w:rsidRDefault="00D74578" w:rsidP="00C372C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pt-BR"/>
        </w:rPr>
        <w:t>Reenvio de material das oficinas e audiências:</w:t>
      </w: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 a Agência deverá reenviar aos integrantes do Grupo o relatório consolidado denominado </w:t>
      </w:r>
      <w:r w:rsidRPr="00D74578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pt-BR"/>
        </w:rPr>
        <w:t>“Potencialidades, Conflitos e Desejos por Bairro”</w:t>
      </w: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, produzido a partir das oficinas e audiências públicas realizadas anteriormente, para que o documento seja utilizado como subsídio na continuidade da análise territorial.</w:t>
      </w:r>
    </w:p>
    <w:p w14:paraId="0F25F95C" w14:textId="77777777" w:rsidR="00D74578" w:rsidRPr="00D74578" w:rsidRDefault="00D74578" w:rsidP="00C372C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pt-BR"/>
        </w:rPr>
        <w:t>Continuidade da leitura técnica:</w:t>
      </w: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 o Grupo dará continuidade à análise dos mapas geofísicos e ambientais, buscando cruzar as restrições identificadas com as demandas e características específicas das diferentes regiões e bairros do município.</w:t>
      </w:r>
    </w:p>
    <w:p w14:paraId="3EDBE89B" w14:textId="77777777" w:rsidR="00D74578" w:rsidRPr="00D74578" w:rsidRDefault="00D74578" w:rsidP="00C372C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pt-BR"/>
        </w:rPr>
        <w:t>Setorização da expansão:</w:t>
      </w: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 deverá ser avaliada, nas etapas seguintes, a possibilidade de estabelecimento de diferentes níveis de ocupação e condicionamento dentro da área de expansão urbana, considerando as características ambientais, geológicas, topográficas, minerárias e urbanísticas de cada setor.</w:t>
      </w:r>
    </w:p>
    <w:p w14:paraId="15776644" w14:textId="77777777" w:rsidR="00D74578" w:rsidRPr="00D74578" w:rsidRDefault="00D74578" w:rsidP="00C372C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pt-BR"/>
        </w:rPr>
        <w:t>Próxima reunião:</w:t>
      </w: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 ficou agendado novo encontro virtual para o dia </w:t>
      </w:r>
      <w:r w:rsidRPr="00D74578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pt-BR"/>
        </w:rPr>
        <w:t>25 de agosto de 2026</w:t>
      </w: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, respeitando-se o intervalo quinzenal solicitado, com pauta voltada à continuidade e conclusão da leitura territorial e ao cruzamento dos mapas geofísicos com os anseios e demandas específicos de cada bairro.</w:t>
      </w:r>
    </w:p>
    <w:p w14:paraId="209AFE05" w14:textId="77777777" w:rsidR="00D74578" w:rsidRPr="00D74578" w:rsidRDefault="00D74578" w:rsidP="00D74578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</w:pPr>
      <w:r w:rsidRPr="00D74578"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  <w:t>5. Encerramento</w:t>
      </w:r>
    </w:p>
    <w:p w14:paraId="7A1003B6" w14:textId="09210F84" w:rsidR="00D74578" w:rsidRPr="00D74578" w:rsidRDefault="00D74578" w:rsidP="00C372C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Nada mais havendo a tratar, a reunião foi encerrada, ficando registrados os debates, esclarecimentos, encaminhamentos e deliberações acima para subsidiar a continuidade dos trabalhos do Grupo de Acompanhamento no processo de macrozoneamento do Município de Prudente de </w:t>
      </w:r>
      <w:proofErr w:type="spellStart"/>
      <w:r w:rsidRPr="00D7457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Morais.</w:t>
      </w:r>
      <w:r w:rsidR="00C372C8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pt-BR"/>
        </w:rPr>
        <w:t>Prudente</w:t>
      </w:r>
      <w:proofErr w:type="spellEnd"/>
      <w:r w:rsidR="00C372C8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pt-BR"/>
        </w:rPr>
        <w:t xml:space="preserve"> de </w:t>
      </w:r>
      <w:proofErr w:type="gramStart"/>
      <w:r w:rsidR="00C372C8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pt-BR"/>
        </w:rPr>
        <w:t xml:space="preserve">Morais </w:t>
      </w:r>
      <w:r w:rsidRPr="00D74578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pt-BR"/>
        </w:rPr>
        <w:t>,</w:t>
      </w:r>
      <w:proofErr w:type="gramEnd"/>
      <w:r w:rsidRPr="00D74578">
        <w:rPr>
          <w:rFonts w:ascii="Segoe UI" w:eastAsia="Times New Roman" w:hAnsi="Segoe UI" w:cs="Segoe UI"/>
          <w:b/>
          <w:bCs/>
          <w:color w:val="0D0D0D"/>
          <w:sz w:val="24"/>
          <w:szCs w:val="24"/>
          <w:lang w:eastAsia="pt-BR"/>
        </w:rPr>
        <w:t xml:space="preserve"> 11 de agosto de 2026.</w:t>
      </w:r>
    </w:p>
    <w:p w14:paraId="025816E4" w14:textId="77777777" w:rsidR="00CD7C13" w:rsidRDefault="00CD7C13" w:rsidP="00CD7C13">
      <w:pPr>
        <w:jc w:val="both"/>
      </w:pPr>
    </w:p>
    <w:p w14:paraId="5C19079C" w14:textId="29B9C5E8" w:rsidR="00C372C8" w:rsidRDefault="00C372C8" w:rsidP="00C372C8">
      <w:pPr>
        <w:pStyle w:val="NormalWeb"/>
      </w:pPr>
      <w:r>
        <w:rPr>
          <w:noProof/>
        </w:rPr>
        <w:drawing>
          <wp:inline distT="0" distB="0" distL="0" distR="0" wp14:anchorId="09DF71AF" wp14:editId="45C36780">
            <wp:extent cx="5400040" cy="2959735"/>
            <wp:effectExtent l="0" t="0" r="0" b="0"/>
            <wp:docPr id="17862755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5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E94AF" w14:textId="434F0EF2" w:rsidR="00C372C8" w:rsidRDefault="00C372C8" w:rsidP="00C372C8">
      <w:pPr>
        <w:pStyle w:val="NormalWeb"/>
      </w:pPr>
      <w:r>
        <w:rPr>
          <w:noProof/>
        </w:rPr>
        <w:drawing>
          <wp:inline distT="0" distB="0" distL="0" distR="0" wp14:anchorId="55C55A85" wp14:editId="318E93A8">
            <wp:extent cx="5400040" cy="2868930"/>
            <wp:effectExtent l="0" t="0" r="0" b="7620"/>
            <wp:docPr id="52312672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6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DBD6E" w14:textId="77777777" w:rsidR="00C372C8" w:rsidRDefault="00C372C8" w:rsidP="00CD7C13">
      <w:pPr>
        <w:jc w:val="both"/>
      </w:pPr>
    </w:p>
    <w:p w14:paraId="14861579" w14:textId="77777777" w:rsidR="00513FDF" w:rsidRDefault="00513FDF"/>
    <w:sectPr w:rsidR="00513FDF" w:rsidSect="00CD7C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D404F"/>
    <w:multiLevelType w:val="multilevel"/>
    <w:tmpl w:val="9274D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2A0344"/>
    <w:multiLevelType w:val="multilevel"/>
    <w:tmpl w:val="08F85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E71677"/>
    <w:multiLevelType w:val="multilevel"/>
    <w:tmpl w:val="1A64B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0B59A1"/>
    <w:multiLevelType w:val="multilevel"/>
    <w:tmpl w:val="9C20E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7843935">
    <w:abstractNumId w:val="3"/>
  </w:num>
  <w:num w:numId="2" w16cid:durableId="378168819">
    <w:abstractNumId w:val="2"/>
  </w:num>
  <w:num w:numId="3" w16cid:durableId="223681120">
    <w:abstractNumId w:val="0"/>
  </w:num>
  <w:num w:numId="4" w16cid:durableId="2613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C13"/>
    <w:rsid w:val="002F05D3"/>
    <w:rsid w:val="00513FDF"/>
    <w:rsid w:val="00C372C8"/>
    <w:rsid w:val="00CD7C13"/>
    <w:rsid w:val="00D7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5715F"/>
  <w15:chartTrackingRefBased/>
  <w15:docId w15:val="{D597B6C6-DCDE-4D13-9426-876ED530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C13"/>
    <w:rPr>
      <w:kern w:val="0"/>
      <w14:ligatures w14:val="none"/>
    </w:rPr>
  </w:style>
  <w:style w:type="paragraph" w:styleId="Ttulo1">
    <w:name w:val="heading 1"/>
    <w:basedOn w:val="Normal"/>
    <w:link w:val="Ttulo1Char"/>
    <w:uiPriority w:val="9"/>
    <w:qFormat/>
    <w:rsid w:val="00D745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D745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D745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7457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D74578"/>
    <w:rPr>
      <w:rFonts w:ascii="Times New Roman" w:eastAsia="Times New Roman" w:hAnsi="Times New Roman" w:cs="Times New Roman"/>
      <w:b/>
      <w:bCs/>
      <w:kern w:val="0"/>
      <w:sz w:val="36"/>
      <w:szCs w:val="36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D74578"/>
    <w:rPr>
      <w:rFonts w:ascii="Times New Roman" w:eastAsia="Times New Roman" w:hAnsi="Times New Roman" w:cs="Times New Roman"/>
      <w:b/>
      <w:bCs/>
      <w:kern w:val="0"/>
      <w:sz w:val="27"/>
      <w:szCs w:val="27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74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745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7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1662</Words>
  <Characters>8976</Characters>
  <Application>Microsoft Office Word</Application>
  <DocSecurity>0</DocSecurity>
  <Lines>74</Lines>
  <Paragraphs>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12</vt:i4>
      </vt:variant>
    </vt:vector>
  </HeadingPairs>
  <TitlesOfParts>
    <vt:vector size="13" baseType="lpstr">
      <vt:lpstr/>
      <vt:lpstr>ATA DA REUNIÃO DO GRUPO DE ACOMPANHAMENTO (GA)</vt:lpstr>
      <vt:lpstr>    1. Abertura e alinhamento dos trabalhos</vt:lpstr>
      <vt:lpstr>    2. Apresentação técnica dos dados territoriais</vt:lpstr>
      <vt:lpstr>        2.1. Cadastro Ambiental Rural e Áreas de Preservação Permanente</vt:lpstr>
      <vt:lpstr>        2.2. Reserva Legal</vt:lpstr>
      <vt:lpstr>        2.3. Reserva da Biosfera da Mata Atlântica</vt:lpstr>
      <vt:lpstr>        2.4. Geologia, cavidades e relevo cárstico</vt:lpstr>
      <vt:lpstr>        2.5. Declividade</vt:lpstr>
      <vt:lpstr>        2.6. Processos minerários</vt:lpstr>
      <vt:lpstr>    3. Posicionamentos e debate do Grupo</vt:lpstr>
      <vt:lpstr>    4. Encaminhamentos e deliberações</vt:lpstr>
      <vt:lpstr>    5. Encerramento</vt:lpstr>
    </vt:vector>
  </TitlesOfParts>
  <Company/>
  <LinksUpToDate>false</LinksUpToDate>
  <CharactersWithSpaces>10617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2026-08-26T11:27:00Z</dcterms:created>
  <dcterms:modified xsi:type="dcterms:W3CDTF">2026-08-26T12:40:00Z</dcterms:modified>
</cp:coreProperties>
</file>