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99AC8" w14:textId="77777777" w:rsidR="0035007A" w:rsidRPr="0035007A" w:rsidRDefault="0035007A" w:rsidP="0035007A">
      <w:pPr>
        <w:shd w:val="clear" w:color="auto" w:fill="FFFFFF"/>
        <w:spacing w:after="0" w:line="240" w:lineRule="auto"/>
        <w:outlineLvl w:val="0"/>
        <w:rPr>
          <w:rFonts w:ascii="Arial" w:eastAsia="Times New Roman" w:hAnsi="Arial" w:cs="Arial"/>
          <w:b/>
          <w:bCs/>
          <w:color w:val="0D0D0D"/>
          <w:kern w:val="36"/>
          <w:sz w:val="24"/>
          <w:szCs w:val="24"/>
          <w:lang w:eastAsia="pt-BR"/>
          <w14:ligatures w14:val="none"/>
        </w:rPr>
      </w:pPr>
      <w:r w:rsidRPr="0035007A">
        <w:rPr>
          <w:rFonts w:ascii="Arial" w:eastAsia="Times New Roman" w:hAnsi="Arial" w:cs="Arial"/>
          <w:b/>
          <w:bCs/>
          <w:color w:val="0D0D0D"/>
          <w:kern w:val="36"/>
          <w:sz w:val="24"/>
          <w:szCs w:val="24"/>
          <w:lang w:eastAsia="pt-BR"/>
          <w14:ligatures w14:val="none"/>
        </w:rPr>
        <w:t>ATA DA REUNIÃO DELIBERATIVA DO GRUPO DE ACOMPANHAMENTO (GA)</w:t>
      </w:r>
    </w:p>
    <w:p w14:paraId="7AB3C4F1" w14:textId="77777777" w:rsidR="0035007A" w:rsidRPr="0035007A" w:rsidRDefault="0035007A" w:rsidP="0035007A">
      <w:pPr>
        <w:shd w:val="clear" w:color="auto" w:fill="FFFFFF"/>
        <w:spacing w:after="0" w:line="240" w:lineRule="auto"/>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Data:</w:t>
      </w:r>
      <w:r w:rsidRPr="0035007A">
        <w:rPr>
          <w:rFonts w:ascii="Arial" w:eastAsia="Times New Roman" w:hAnsi="Arial" w:cs="Arial"/>
          <w:color w:val="0D0D0D"/>
          <w:kern w:val="0"/>
          <w:sz w:val="24"/>
          <w:szCs w:val="24"/>
          <w:lang w:eastAsia="pt-BR"/>
          <w14:ligatures w14:val="none"/>
        </w:rPr>
        <w:t> 28 de julho de 2026</w:t>
      </w:r>
      <w:r w:rsidRPr="0035007A">
        <w:rPr>
          <w:rFonts w:ascii="Arial" w:eastAsia="Times New Roman" w:hAnsi="Arial" w:cs="Arial"/>
          <w:color w:val="0D0D0D"/>
          <w:kern w:val="0"/>
          <w:sz w:val="24"/>
          <w:szCs w:val="24"/>
          <w:lang w:eastAsia="pt-BR"/>
          <w14:ligatures w14:val="none"/>
        </w:rPr>
        <w:br/>
      </w:r>
      <w:r w:rsidRPr="0035007A">
        <w:rPr>
          <w:rFonts w:ascii="Arial" w:eastAsia="Times New Roman" w:hAnsi="Arial" w:cs="Arial"/>
          <w:b/>
          <w:bCs/>
          <w:color w:val="0D0D0D"/>
          <w:kern w:val="0"/>
          <w:sz w:val="24"/>
          <w:szCs w:val="24"/>
          <w:lang w:eastAsia="pt-BR"/>
          <w14:ligatures w14:val="none"/>
        </w:rPr>
        <w:t>Horário de início:</w:t>
      </w:r>
      <w:r w:rsidRPr="0035007A">
        <w:rPr>
          <w:rFonts w:ascii="Arial" w:eastAsia="Times New Roman" w:hAnsi="Arial" w:cs="Arial"/>
          <w:color w:val="0D0D0D"/>
          <w:kern w:val="0"/>
          <w:sz w:val="24"/>
          <w:szCs w:val="24"/>
          <w:lang w:eastAsia="pt-BR"/>
          <w14:ligatures w14:val="none"/>
        </w:rPr>
        <w:t> 18h14</w:t>
      </w:r>
      <w:r w:rsidRPr="0035007A">
        <w:rPr>
          <w:rFonts w:ascii="Arial" w:eastAsia="Times New Roman" w:hAnsi="Arial" w:cs="Arial"/>
          <w:color w:val="0D0D0D"/>
          <w:kern w:val="0"/>
          <w:sz w:val="24"/>
          <w:szCs w:val="24"/>
          <w:lang w:eastAsia="pt-BR"/>
          <w14:ligatures w14:val="none"/>
        </w:rPr>
        <w:br/>
      </w:r>
      <w:r w:rsidRPr="0035007A">
        <w:rPr>
          <w:rFonts w:ascii="Arial" w:eastAsia="Times New Roman" w:hAnsi="Arial" w:cs="Arial"/>
          <w:b/>
          <w:bCs/>
          <w:color w:val="0D0D0D"/>
          <w:kern w:val="0"/>
          <w:sz w:val="24"/>
          <w:szCs w:val="24"/>
          <w:lang w:eastAsia="pt-BR"/>
          <w14:ligatures w14:val="none"/>
        </w:rPr>
        <w:t>Duração:</w:t>
      </w:r>
      <w:r w:rsidRPr="0035007A">
        <w:rPr>
          <w:rFonts w:ascii="Arial" w:eastAsia="Times New Roman" w:hAnsi="Arial" w:cs="Arial"/>
          <w:color w:val="0D0D0D"/>
          <w:kern w:val="0"/>
          <w:sz w:val="24"/>
          <w:szCs w:val="24"/>
          <w:lang w:eastAsia="pt-BR"/>
          <w14:ligatures w14:val="none"/>
        </w:rPr>
        <w:t> 49 minutos e 12 segundos</w:t>
      </w:r>
      <w:r w:rsidRPr="0035007A">
        <w:rPr>
          <w:rFonts w:ascii="Arial" w:eastAsia="Times New Roman" w:hAnsi="Arial" w:cs="Arial"/>
          <w:color w:val="0D0D0D"/>
          <w:kern w:val="0"/>
          <w:sz w:val="24"/>
          <w:szCs w:val="24"/>
          <w:lang w:eastAsia="pt-BR"/>
          <w14:ligatures w14:val="none"/>
        </w:rPr>
        <w:br/>
      </w:r>
      <w:r w:rsidRPr="0035007A">
        <w:rPr>
          <w:rFonts w:ascii="Arial" w:eastAsia="Times New Roman" w:hAnsi="Arial" w:cs="Arial"/>
          <w:b/>
          <w:bCs/>
          <w:color w:val="0D0D0D"/>
          <w:kern w:val="0"/>
          <w:sz w:val="24"/>
          <w:szCs w:val="24"/>
          <w:lang w:eastAsia="pt-BR"/>
          <w14:ligatures w14:val="none"/>
        </w:rPr>
        <w:t>Modalidade:</w:t>
      </w:r>
      <w:r w:rsidRPr="0035007A">
        <w:rPr>
          <w:rFonts w:ascii="Arial" w:eastAsia="Times New Roman" w:hAnsi="Arial" w:cs="Arial"/>
          <w:color w:val="0D0D0D"/>
          <w:kern w:val="0"/>
          <w:sz w:val="24"/>
          <w:szCs w:val="24"/>
          <w:lang w:eastAsia="pt-BR"/>
          <w14:ligatures w14:val="none"/>
        </w:rPr>
        <w:t> Virtual</w:t>
      </w:r>
    </w:p>
    <w:p w14:paraId="5D974D08"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Participantes:</w:t>
      </w:r>
      <w:r w:rsidRPr="0035007A">
        <w:rPr>
          <w:rFonts w:ascii="Arial" w:eastAsia="Times New Roman" w:hAnsi="Arial" w:cs="Arial"/>
          <w:color w:val="0D0D0D"/>
          <w:kern w:val="0"/>
          <w:sz w:val="24"/>
          <w:szCs w:val="24"/>
          <w:lang w:eastAsia="pt-BR"/>
          <w14:ligatures w14:val="none"/>
        </w:rPr>
        <w:t xml:space="preserve"> Bárbara Anne Dalla </w:t>
      </w:r>
      <w:proofErr w:type="spellStart"/>
      <w:r w:rsidRPr="0035007A">
        <w:rPr>
          <w:rFonts w:ascii="Arial" w:eastAsia="Times New Roman" w:hAnsi="Arial" w:cs="Arial"/>
          <w:color w:val="0D0D0D"/>
          <w:kern w:val="0"/>
          <w:sz w:val="24"/>
          <w:szCs w:val="24"/>
          <w:lang w:eastAsia="pt-BR"/>
          <w14:ligatures w14:val="none"/>
        </w:rPr>
        <w:t>Vechia</w:t>
      </w:r>
      <w:proofErr w:type="spellEnd"/>
      <w:r w:rsidRPr="0035007A">
        <w:rPr>
          <w:rFonts w:ascii="Arial" w:eastAsia="Times New Roman" w:hAnsi="Arial" w:cs="Arial"/>
          <w:color w:val="0D0D0D"/>
          <w:kern w:val="0"/>
          <w:sz w:val="24"/>
          <w:szCs w:val="24"/>
          <w:lang w:eastAsia="pt-BR"/>
          <w14:ligatures w14:val="none"/>
        </w:rPr>
        <w:t xml:space="preserve"> </w:t>
      </w:r>
      <w:proofErr w:type="spellStart"/>
      <w:r w:rsidRPr="0035007A">
        <w:rPr>
          <w:rFonts w:ascii="Arial" w:eastAsia="Times New Roman" w:hAnsi="Arial" w:cs="Arial"/>
          <w:color w:val="0D0D0D"/>
          <w:kern w:val="0"/>
          <w:sz w:val="24"/>
          <w:szCs w:val="24"/>
          <w:lang w:eastAsia="pt-BR"/>
          <w14:ligatures w14:val="none"/>
        </w:rPr>
        <w:t>Konzen</w:t>
      </w:r>
      <w:proofErr w:type="spellEnd"/>
      <w:r w:rsidRPr="0035007A">
        <w:rPr>
          <w:rFonts w:ascii="Arial" w:eastAsia="Times New Roman" w:hAnsi="Arial" w:cs="Arial"/>
          <w:color w:val="0D0D0D"/>
          <w:kern w:val="0"/>
          <w:sz w:val="24"/>
          <w:szCs w:val="24"/>
          <w:lang w:eastAsia="pt-BR"/>
          <w14:ligatures w14:val="none"/>
        </w:rPr>
        <w:t xml:space="preserve"> (Agência); </w:t>
      </w:r>
      <w:proofErr w:type="spellStart"/>
      <w:r w:rsidRPr="0035007A">
        <w:rPr>
          <w:rFonts w:ascii="Arial" w:eastAsia="Times New Roman" w:hAnsi="Arial" w:cs="Arial"/>
          <w:color w:val="0D0D0D"/>
          <w:kern w:val="0"/>
          <w:sz w:val="24"/>
          <w:szCs w:val="24"/>
          <w:lang w:eastAsia="pt-BR"/>
          <w14:ligatures w14:val="none"/>
        </w:rPr>
        <w:t>Charliston</w:t>
      </w:r>
      <w:proofErr w:type="spellEnd"/>
      <w:r w:rsidRPr="0035007A">
        <w:rPr>
          <w:rFonts w:ascii="Arial" w:eastAsia="Times New Roman" w:hAnsi="Arial" w:cs="Arial"/>
          <w:color w:val="0D0D0D"/>
          <w:kern w:val="0"/>
          <w:sz w:val="24"/>
          <w:szCs w:val="24"/>
          <w:lang w:eastAsia="pt-BR"/>
          <w14:ligatures w14:val="none"/>
        </w:rPr>
        <w:t xml:space="preserve"> Marques Moreira (Agência); Lucas Sousa Lima (Agência); Newton (Agência RMBH); Philippe Amaral (Executivo); Alan Valadares (Executivo); Isadora Vila Nova (Executivo); </w:t>
      </w:r>
      <w:proofErr w:type="spellStart"/>
      <w:r w:rsidRPr="0035007A">
        <w:rPr>
          <w:rFonts w:ascii="Arial" w:eastAsia="Times New Roman" w:hAnsi="Arial" w:cs="Arial"/>
          <w:color w:val="0D0D0D"/>
          <w:kern w:val="0"/>
          <w:sz w:val="24"/>
          <w:szCs w:val="24"/>
          <w:lang w:eastAsia="pt-BR"/>
          <w14:ligatures w14:val="none"/>
        </w:rPr>
        <w:t>Jucimara</w:t>
      </w:r>
      <w:proofErr w:type="spellEnd"/>
      <w:r w:rsidRPr="0035007A">
        <w:rPr>
          <w:rFonts w:ascii="Arial" w:eastAsia="Times New Roman" w:hAnsi="Arial" w:cs="Arial"/>
          <w:color w:val="0D0D0D"/>
          <w:kern w:val="0"/>
          <w:sz w:val="24"/>
          <w:szCs w:val="24"/>
          <w:lang w:eastAsia="pt-BR"/>
          <w14:ligatures w14:val="none"/>
        </w:rPr>
        <w:t xml:space="preserve"> (Legislativo); Gilda Freitas; Breno Oliveira (Sociedade Civil); Leandro; Cláudia; Paulo; e Márcio Ernane.</w:t>
      </w:r>
    </w:p>
    <w:p w14:paraId="107312F0" w14:textId="77777777" w:rsidR="0035007A" w:rsidRPr="0035007A" w:rsidRDefault="0035007A" w:rsidP="0035007A">
      <w:pPr>
        <w:shd w:val="clear" w:color="auto" w:fill="FFFFFF"/>
        <w:spacing w:after="0" w:line="240" w:lineRule="auto"/>
        <w:outlineLvl w:val="1"/>
        <w:rPr>
          <w:rFonts w:ascii="Arial" w:eastAsia="Times New Roman" w:hAnsi="Arial" w:cs="Arial"/>
          <w:b/>
          <w:bCs/>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1. Abertura e verificação de quórum</w:t>
      </w:r>
    </w:p>
    <w:p w14:paraId="29AA2B4D"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A reunião foi aberta pela Agência, que procedeu à verificação da presença dos representantes dos segmentos da sociedade civil, do Poder Executivo e do Poder Legislativo. Na sequência, foi apresentada a pauta referente à análise e discussão da proposta encaminhada pela Prefeitura Municipal para a delimitação das áreas urbanas, rurais e de transição/expansão urbana.</w:t>
      </w:r>
    </w:p>
    <w:p w14:paraId="004BDF99" w14:textId="77777777" w:rsidR="0035007A" w:rsidRPr="0035007A" w:rsidRDefault="0035007A" w:rsidP="0035007A">
      <w:pPr>
        <w:shd w:val="clear" w:color="auto" w:fill="FFFFFF"/>
        <w:spacing w:after="0" w:line="240" w:lineRule="auto"/>
        <w:outlineLvl w:val="1"/>
        <w:rPr>
          <w:rFonts w:ascii="Arial" w:eastAsia="Times New Roman" w:hAnsi="Arial" w:cs="Arial"/>
          <w:b/>
          <w:bCs/>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2. Análise da Área Urbana Consolidada</w:t>
      </w:r>
    </w:p>
    <w:p w14:paraId="79CDB404"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 xml:space="preserve">Bárbara Anne Dalla </w:t>
      </w:r>
      <w:proofErr w:type="spellStart"/>
      <w:r w:rsidRPr="0035007A">
        <w:rPr>
          <w:rFonts w:ascii="Arial" w:eastAsia="Times New Roman" w:hAnsi="Arial" w:cs="Arial"/>
          <w:color w:val="0D0D0D"/>
          <w:kern w:val="0"/>
          <w:sz w:val="24"/>
          <w:szCs w:val="24"/>
          <w:lang w:eastAsia="pt-BR"/>
          <w14:ligatures w14:val="none"/>
        </w:rPr>
        <w:t>Vechia</w:t>
      </w:r>
      <w:proofErr w:type="spellEnd"/>
      <w:r w:rsidRPr="0035007A">
        <w:rPr>
          <w:rFonts w:ascii="Arial" w:eastAsia="Times New Roman" w:hAnsi="Arial" w:cs="Arial"/>
          <w:color w:val="0D0D0D"/>
          <w:kern w:val="0"/>
          <w:sz w:val="24"/>
          <w:szCs w:val="24"/>
          <w:lang w:eastAsia="pt-BR"/>
          <w14:ligatures w14:val="none"/>
        </w:rPr>
        <w:t xml:space="preserve"> </w:t>
      </w:r>
      <w:proofErr w:type="spellStart"/>
      <w:r w:rsidRPr="0035007A">
        <w:rPr>
          <w:rFonts w:ascii="Arial" w:eastAsia="Times New Roman" w:hAnsi="Arial" w:cs="Arial"/>
          <w:color w:val="0D0D0D"/>
          <w:kern w:val="0"/>
          <w:sz w:val="24"/>
          <w:szCs w:val="24"/>
          <w:lang w:eastAsia="pt-BR"/>
          <w14:ligatures w14:val="none"/>
        </w:rPr>
        <w:t>Konzen</w:t>
      </w:r>
      <w:proofErr w:type="spellEnd"/>
      <w:r w:rsidRPr="0035007A">
        <w:rPr>
          <w:rFonts w:ascii="Arial" w:eastAsia="Times New Roman" w:hAnsi="Arial" w:cs="Arial"/>
          <w:color w:val="0D0D0D"/>
          <w:kern w:val="0"/>
          <w:sz w:val="24"/>
          <w:szCs w:val="24"/>
          <w:lang w:eastAsia="pt-BR"/>
          <w14:ligatures w14:val="none"/>
        </w:rPr>
        <w:t xml:space="preserve"> e </w:t>
      </w:r>
      <w:proofErr w:type="spellStart"/>
      <w:r w:rsidRPr="0035007A">
        <w:rPr>
          <w:rFonts w:ascii="Arial" w:eastAsia="Times New Roman" w:hAnsi="Arial" w:cs="Arial"/>
          <w:color w:val="0D0D0D"/>
          <w:kern w:val="0"/>
          <w:sz w:val="24"/>
          <w:szCs w:val="24"/>
          <w:lang w:eastAsia="pt-BR"/>
          <w14:ligatures w14:val="none"/>
        </w:rPr>
        <w:t>Charliston</w:t>
      </w:r>
      <w:proofErr w:type="spellEnd"/>
      <w:r w:rsidRPr="0035007A">
        <w:rPr>
          <w:rFonts w:ascii="Arial" w:eastAsia="Times New Roman" w:hAnsi="Arial" w:cs="Arial"/>
          <w:color w:val="0D0D0D"/>
          <w:kern w:val="0"/>
          <w:sz w:val="24"/>
          <w:szCs w:val="24"/>
          <w:lang w:eastAsia="pt-BR"/>
          <w14:ligatures w14:val="none"/>
        </w:rPr>
        <w:t xml:space="preserve"> Marques Moreira conduziram a apresentação e a leitura do mapa, esclarecendo que as áreas representadas na cor amarela correspondem ao perímetro urbano consolidado encaminhado pelo Município.</w:t>
      </w:r>
    </w:p>
    <w:p w14:paraId="637FE993"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Philippe Amaral esclareceu que a mancha apresentada busca representar a legislação municipal vigente, destacando que, anteriormente, a delimitação legal não contava com uma espacialização cartográfica precisa.</w:t>
      </w:r>
    </w:p>
    <w:p w14:paraId="3D3098D3"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Durante a análise, Breno Oliveira identificou que um quarteirão localizado nas proximidades do São João 2, próximo ao galpão de eventos, não havia sido incluído na mancha urbana consolidada. Após os esclarecimentos prestados por Philippe Amaral, ficou registrado que a primeira linha, composta por aproximadamente 28 lotes regulares, com área aproximada de 360 m² cada, localizada às margens da via, deveria ser incorporada ao perímetro urbano.</w:t>
      </w:r>
    </w:p>
    <w:p w14:paraId="0C63AA20"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Foi esclarecido, ainda, que a área situada nos fundos corresponde a um loteamento/fazenda que se encontra embargado, não devendo, neste momento, ser incorporada à área urbana consolidada.</w:t>
      </w:r>
    </w:p>
    <w:p w14:paraId="66824E70"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Como encaminhamento técnico, ficou deliberado que Lucas Sousa Lima realizará o ajuste cartográfico necessário, considerando uma ampliação aproximada de 30 metros, de modo a contemplar os lotes identificados na região do São João 2.</w:t>
      </w:r>
    </w:p>
    <w:p w14:paraId="3007FD19" w14:textId="77777777" w:rsidR="0035007A" w:rsidRPr="0035007A" w:rsidRDefault="0035007A" w:rsidP="0035007A">
      <w:pPr>
        <w:shd w:val="clear" w:color="auto" w:fill="FFFFFF"/>
        <w:spacing w:after="0" w:line="240" w:lineRule="auto"/>
        <w:outlineLvl w:val="1"/>
        <w:rPr>
          <w:rFonts w:ascii="Arial" w:eastAsia="Times New Roman" w:hAnsi="Arial" w:cs="Arial"/>
          <w:b/>
          <w:bCs/>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3. Análise da Zona de Expansão Urbana</w:t>
      </w:r>
    </w:p>
    <w:p w14:paraId="3D857CD4"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Na sequência, foi apresentada a proposta de zona de expansão urbana, representada pela área em vermelho no mapa.</w:t>
      </w:r>
    </w:p>
    <w:p w14:paraId="45129533"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Philippe Amaral explicou que a proposta de expansão, direcionada principalmente no sentido de Matozinhos, tem como objetivo promover a conexão entre núcleos urbanos atualmente isolados, bem como contemplar demandas relacionadas à instalação ou ampliação de atividades industriais, comerciais e minerárias.</w:t>
      </w:r>
    </w:p>
    <w:p w14:paraId="74F2AA9A"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Foi informado que, para a definição preliminar dos limites, foram consideradas as linhas constantes do Cadastro Ambiental Rural (CAR), buscando respeitar os limites das propriedades existentes.</w:t>
      </w:r>
    </w:p>
    <w:p w14:paraId="1C87D76D"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lastRenderedPageBreak/>
        <w:t>Durante o debate, Breno Oliveira manifestou preocupação quanto à extensão da área proposta para expansão, destacando que a delimitação apresentada poderia representar aproximadamente o triplo do tamanho da cidade atualmente consolidada. Ressaltou, ainda, a necessidade de considerar critérios relacionados à infraestrutura e aos serviços públicos, tais como escolas, creches, unidades de saúde e transporte, especialmente em áreas mais afastadas dos núcleos urbanos existentes.</w:t>
      </w:r>
    </w:p>
    <w:p w14:paraId="22601F48"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Breno também questionou a inclusão de atividades minerárias no conceito de expansão urbana, defendendo que tais atividades sejam analisadas de forma específica e mediante critérios técnicos e ambientais adequados.</w:t>
      </w:r>
    </w:p>
    <w:p w14:paraId="5C9CC6DA"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 xml:space="preserve">Diante das manifestações, Newton e </w:t>
      </w:r>
      <w:proofErr w:type="spellStart"/>
      <w:r w:rsidRPr="0035007A">
        <w:rPr>
          <w:rFonts w:ascii="Arial" w:eastAsia="Times New Roman" w:hAnsi="Arial" w:cs="Arial"/>
          <w:color w:val="0D0D0D"/>
          <w:kern w:val="0"/>
          <w:sz w:val="24"/>
          <w:szCs w:val="24"/>
          <w:lang w:eastAsia="pt-BR"/>
          <w14:ligatures w14:val="none"/>
        </w:rPr>
        <w:t>Charliston</w:t>
      </w:r>
      <w:proofErr w:type="spellEnd"/>
      <w:r w:rsidRPr="0035007A">
        <w:rPr>
          <w:rFonts w:ascii="Arial" w:eastAsia="Times New Roman" w:hAnsi="Arial" w:cs="Arial"/>
          <w:color w:val="0D0D0D"/>
          <w:kern w:val="0"/>
          <w:sz w:val="24"/>
          <w:szCs w:val="24"/>
          <w:lang w:eastAsia="pt-BR"/>
          <w14:ligatures w14:val="none"/>
        </w:rPr>
        <w:t xml:space="preserve"> Marques Moreira sugeriram que o Grupo aprovasse, neste momento, a delimitação da área urbana consolidada, mantendo a proposta de expansão em análise para novas rodadas de avaliação e filtragem. Foi ressaltada a necessidade de sobrepor à proposta novas condicionantes ambientais e geográficas antes de eventual aprovação definitiva da área de expansão.</w:t>
      </w:r>
    </w:p>
    <w:p w14:paraId="05856DCB" w14:textId="77777777" w:rsidR="0035007A" w:rsidRPr="0035007A" w:rsidRDefault="0035007A" w:rsidP="0035007A">
      <w:pPr>
        <w:shd w:val="clear" w:color="auto" w:fill="FFFFFF"/>
        <w:spacing w:after="0" w:line="240" w:lineRule="auto"/>
        <w:outlineLvl w:val="1"/>
        <w:rPr>
          <w:rFonts w:ascii="Arial" w:eastAsia="Times New Roman" w:hAnsi="Arial" w:cs="Arial"/>
          <w:b/>
          <w:bCs/>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4. Organização e metodologia das próximas reuniões</w:t>
      </w:r>
    </w:p>
    <w:p w14:paraId="6AD1BAFE"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Breno Oliveira solicitou que as próximas reuniões fossem realizadas presencialmente, argumentando que a análise de mapas complexos apresenta dificuldades quando realizada por meio de dispositivos móveis.</w:t>
      </w:r>
    </w:p>
    <w:p w14:paraId="0AFF8F99"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Philippe Amaral ponderou que a realização presencial poderia apresentar baixa adesão, considerando o histórico de participação, e observou que a dinâmica de análise de mapas e documentos permaneceria semelhante, ainda que em ambiente presencial.</w:t>
      </w:r>
    </w:p>
    <w:p w14:paraId="093494A9" w14:textId="77777777" w:rsidR="0035007A" w:rsidRP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Após discussão, ficou acordada a manutenção do formato virtual para as próximas reuniões. A Agência assumiu o compromisso de disponibilizar, até a tarde do dia seguinte, arquivos em formato PDF e arquivos interativos, incluindo KML, com as novas camadas de informação necessárias à análise pelos integrantes do Grupo.</w:t>
      </w:r>
    </w:p>
    <w:p w14:paraId="4137D416" w14:textId="77777777" w:rsidR="0035007A" w:rsidRPr="0035007A" w:rsidRDefault="0035007A" w:rsidP="0035007A">
      <w:pPr>
        <w:shd w:val="clear" w:color="auto" w:fill="FFFFFF"/>
        <w:spacing w:after="0" w:line="240" w:lineRule="auto"/>
        <w:outlineLvl w:val="1"/>
        <w:rPr>
          <w:rFonts w:ascii="Arial" w:eastAsia="Times New Roman" w:hAnsi="Arial" w:cs="Arial"/>
          <w:b/>
          <w:bCs/>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5. Encaminhamentos e deliberações</w:t>
      </w:r>
    </w:p>
    <w:p w14:paraId="15D02EC8" w14:textId="77777777" w:rsidR="0035007A" w:rsidRPr="0035007A" w:rsidRDefault="0035007A" w:rsidP="0035007A">
      <w:pPr>
        <w:shd w:val="clear" w:color="auto" w:fill="FFFFFF"/>
        <w:spacing w:after="0" w:line="240" w:lineRule="auto"/>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Ao final da reunião, foram definidos os seguintes encaminhamentos:</w:t>
      </w:r>
    </w:p>
    <w:p w14:paraId="6E9F5983" w14:textId="77777777" w:rsidR="0035007A" w:rsidRPr="0035007A" w:rsidRDefault="0035007A" w:rsidP="0035007A">
      <w:pPr>
        <w:numPr>
          <w:ilvl w:val="0"/>
          <w:numId w:val="1"/>
        </w:num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Ajuste do perímetro urbano consolidado:</w:t>
      </w:r>
      <w:r w:rsidRPr="0035007A">
        <w:rPr>
          <w:rFonts w:ascii="Arial" w:eastAsia="Times New Roman" w:hAnsi="Arial" w:cs="Arial"/>
          <w:color w:val="0D0D0D"/>
          <w:kern w:val="0"/>
          <w:sz w:val="24"/>
          <w:szCs w:val="24"/>
          <w:lang w:eastAsia="pt-BR"/>
          <w14:ligatures w14:val="none"/>
        </w:rPr>
        <w:t> Lucas Sousa Lima deverá realizar o ajuste cartográfico para incorporar ao perímetro urbano consolidado os aproximadamente 28 lotes identificados na região do São João 2, considerando a ampliação aproximada de 30 metros indicada durante a reunião.</w:t>
      </w:r>
    </w:p>
    <w:p w14:paraId="7239F2E5" w14:textId="77777777" w:rsidR="0035007A" w:rsidRPr="0035007A" w:rsidRDefault="0035007A" w:rsidP="0035007A">
      <w:pPr>
        <w:numPr>
          <w:ilvl w:val="0"/>
          <w:numId w:val="1"/>
        </w:num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Inclusão de camadas técnicas:</w:t>
      </w:r>
      <w:r w:rsidRPr="0035007A">
        <w:rPr>
          <w:rFonts w:ascii="Arial" w:eastAsia="Times New Roman" w:hAnsi="Arial" w:cs="Arial"/>
          <w:color w:val="0D0D0D"/>
          <w:kern w:val="0"/>
          <w:sz w:val="24"/>
          <w:szCs w:val="24"/>
          <w:lang w:eastAsia="pt-BR"/>
          <w14:ligatures w14:val="none"/>
        </w:rPr>
        <w:t> A equipe técnica deverá acrescentar aos mapas as camadas referentes à declividade, aos cursos d’água e às cavidades, com o objetivo de subsidiar a análise e a discussão da proposta de expansão urbana.</w:t>
      </w:r>
    </w:p>
    <w:p w14:paraId="34282238" w14:textId="77777777" w:rsidR="0035007A" w:rsidRPr="0035007A" w:rsidRDefault="0035007A" w:rsidP="0035007A">
      <w:pPr>
        <w:numPr>
          <w:ilvl w:val="0"/>
          <w:numId w:val="1"/>
        </w:num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Análise da expansão urbana:</w:t>
      </w:r>
      <w:r w:rsidRPr="0035007A">
        <w:rPr>
          <w:rFonts w:ascii="Arial" w:eastAsia="Times New Roman" w:hAnsi="Arial" w:cs="Arial"/>
          <w:color w:val="0D0D0D"/>
          <w:kern w:val="0"/>
          <w:sz w:val="24"/>
          <w:szCs w:val="24"/>
          <w:lang w:eastAsia="pt-BR"/>
          <w14:ligatures w14:val="none"/>
        </w:rPr>
        <w:t> A proposta da zona de expansão urbana permanecerá em análise, devendo ser submetida a novas rodadas de avaliação, com a sobreposição de condicionantes ambientais e geográficas antes de eventual deliberação definitiva.</w:t>
      </w:r>
    </w:p>
    <w:p w14:paraId="02B58EE5" w14:textId="77777777" w:rsidR="0035007A" w:rsidRPr="0035007A" w:rsidRDefault="0035007A" w:rsidP="0035007A">
      <w:pPr>
        <w:numPr>
          <w:ilvl w:val="0"/>
          <w:numId w:val="1"/>
        </w:num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Disponibilização dos arquivos:</w:t>
      </w:r>
      <w:r w:rsidRPr="0035007A">
        <w:rPr>
          <w:rFonts w:ascii="Arial" w:eastAsia="Times New Roman" w:hAnsi="Arial" w:cs="Arial"/>
          <w:color w:val="0D0D0D"/>
          <w:kern w:val="0"/>
          <w:sz w:val="24"/>
          <w:szCs w:val="24"/>
          <w:lang w:eastAsia="pt-BR"/>
          <w14:ligatures w14:val="none"/>
        </w:rPr>
        <w:t> A Agência deverá encaminhar aos membros do Grupo arquivos em formato PDF e formatos interativos, incluindo KML, para possibilitar a análise individual e detalhada das áreas propostas.</w:t>
      </w:r>
    </w:p>
    <w:p w14:paraId="0A37A4C9" w14:textId="77777777" w:rsidR="0035007A" w:rsidRPr="0035007A" w:rsidRDefault="0035007A" w:rsidP="0035007A">
      <w:pPr>
        <w:numPr>
          <w:ilvl w:val="0"/>
          <w:numId w:val="1"/>
        </w:num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Próxima reunião:</w:t>
      </w:r>
      <w:r w:rsidRPr="0035007A">
        <w:rPr>
          <w:rFonts w:ascii="Arial" w:eastAsia="Times New Roman" w:hAnsi="Arial" w:cs="Arial"/>
          <w:color w:val="0D0D0D"/>
          <w:kern w:val="0"/>
          <w:sz w:val="24"/>
          <w:szCs w:val="24"/>
          <w:lang w:eastAsia="pt-BR"/>
          <w14:ligatures w14:val="none"/>
        </w:rPr>
        <w:t> Ficou agendada nova reunião do Grupo de Acompanhamento para </w:t>
      </w:r>
      <w:r w:rsidRPr="0035007A">
        <w:rPr>
          <w:rFonts w:ascii="Arial" w:eastAsia="Times New Roman" w:hAnsi="Arial" w:cs="Arial"/>
          <w:b/>
          <w:bCs/>
          <w:color w:val="0D0D0D"/>
          <w:kern w:val="0"/>
          <w:sz w:val="24"/>
          <w:szCs w:val="24"/>
          <w:lang w:eastAsia="pt-BR"/>
          <w14:ligatures w14:val="none"/>
        </w:rPr>
        <w:t>04 de agosto de 2026 (terça-feira)</w:t>
      </w:r>
      <w:r w:rsidRPr="0035007A">
        <w:rPr>
          <w:rFonts w:ascii="Arial" w:eastAsia="Times New Roman" w:hAnsi="Arial" w:cs="Arial"/>
          <w:color w:val="0D0D0D"/>
          <w:kern w:val="0"/>
          <w:sz w:val="24"/>
          <w:szCs w:val="24"/>
          <w:lang w:eastAsia="pt-BR"/>
          <w14:ligatures w14:val="none"/>
        </w:rPr>
        <w:t>, garantindo-se, assim, o período de aproximadamente uma semana para que os integrantes possam analisar os mapas e as novas informações disponibilizadas.</w:t>
      </w:r>
    </w:p>
    <w:p w14:paraId="13B97257" w14:textId="77777777" w:rsidR="0035007A" w:rsidRPr="0035007A" w:rsidRDefault="0035007A" w:rsidP="0035007A">
      <w:pPr>
        <w:shd w:val="clear" w:color="auto" w:fill="FFFFFF"/>
        <w:spacing w:after="0" w:line="240" w:lineRule="auto"/>
        <w:outlineLvl w:val="1"/>
        <w:rPr>
          <w:rFonts w:ascii="Arial" w:eastAsia="Times New Roman" w:hAnsi="Arial" w:cs="Arial"/>
          <w:b/>
          <w:bCs/>
          <w:color w:val="0D0D0D"/>
          <w:kern w:val="0"/>
          <w:sz w:val="24"/>
          <w:szCs w:val="24"/>
          <w:lang w:eastAsia="pt-BR"/>
          <w14:ligatures w14:val="none"/>
        </w:rPr>
      </w:pPr>
      <w:r w:rsidRPr="0035007A">
        <w:rPr>
          <w:rFonts w:ascii="Arial" w:eastAsia="Times New Roman" w:hAnsi="Arial" w:cs="Arial"/>
          <w:b/>
          <w:bCs/>
          <w:color w:val="0D0D0D"/>
          <w:kern w:val="0"/>
          <w:sz w:val="24"/>
          <w:szCs w:val="24"/>
          <w:lang w:eastAsia="pt-BR"/>
          <w14:ligatures w14:val="none"/>
        </w:rPr>
        <w:t>6. Encerramento</w:t>
      </w:r>
    </w:p>
    <w:p w14:paraId="4C642A5E" w14:textId="77777777" w:rsidR="0035007A" w:rsidRDefault="0035007A"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sidRPr="0035007A">
        <w:rPr>
          <w:rFonts w:ascii="Arial" w:eastAsia="Times New Roman" w:hAnsi="Arial" w:cs="Arial"/>
          <w:color w:val="0D0D0D"/>
          <w:kern w:val="0"/>
          <w:sz w:val="24"/>
          <w:szCs w:val="24"/>
          <w:lang w:eastAsia="pt-BR"/>
          <w14:ligatures w14:val="none"/>
        </w:rPr>
        <w:t>Nada mais havendo a tratar, a reunião foi encerrada, ficando registrados os encaminhamentos acima para prosseguimento dos trabalhos do Grupo de Acompanhamento.</w:t>
      </w:r>
    </w:p>
    <w:p w14:paraId="5450EA88" w14:textId="0BF0587D" w:rsidR="0035007A" w:rsidRPr="0035007A" w:rsidRDefault="000E3D47" w:rsidP="0035007A">
      <w:pPr>
        <w:shd w:val="clear" w:color="auto" w:fill="FFFFFF"/>
        <w:spacing w:after="0" w:line="240" w:lineRule="auto"/>
        <w:jc w:val="both"/>
        <w:rPr>
          <w:rFonts w:ascii="Arial" w:eastAsia="Times New Roman" w:hAnsi="Arial" w:cs="Arial"/>
          <w:color w:val="0D0D0D"/>
          <w:kern w:val="0"/>
          <w:sz w:val="24"/>
          <w:szCs w:val="24"/>
          <w:lang w:eastAsia="pt-BR"/>
          <w14:ligatures w14:val="none"/>
        </w:rPr>
      </w:pPr>
      <w:r>
        <w:rPr>
          <w:rFonts w:ascii="Arial" w:eastAsia="Times New Roman" w:hAnsi="Arial" w:cs="Arial"/>
          <w:color w:val="0D0D0D"/>
          <w:kern w:val="0"/>
          <w:sz w:val="24"/>
          <w:szCs w:val="24"/>
          <w:lang w:eastAsia="pt-BR"/>
          <w14:ligatures w14:val="none"/>
        </w:rPr>
        <w:t>Prudente de Morais, 28 de julho de 2026.</w:t>
      </w:r>
    </w:p>
    <w:p w14:paraId="2AA63464" w14:textId="62CF504C" w:rsidR="0035007A" w:rsidRDefault="0035007A" w:rsidP="0035007A">
      <w:pPr>
        <w:pStyle w:val="NormalWeb"/>
      </w:pPr>
      <w:r>
        <w:rPr>
          <w:noProof/>
        </w:rPr>
        <w:drawing>
          <wp:inline distT="0" distB="0" distL="0" distR="0" wp14:anchorId="562D8077" wp14:editId="658CF078">
            <wp:extent cx="5400040" cy="2838450"/>
            <wp:effectExtent l="0" t="0" r="0" b="0"/>
            <wp:docPr id="15349596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2838450"/>
                    </a:xfrm>
                    <a:prstGeom prst="rect">
                      <a:avLst/>
                    </a:prstGeom>
                    <a:noFill/>
                    <a:ln>
                      <a:noFill/>
                    </a:ln>
                  </pic:spPr>
                </pic:pic>
              </a:graphicData>
            </a:graphic>
          </wp:inline>
        </w:drawing>
      </w:r>
    </w:p>
    <w:p w14:paraId="66BACC54" w14:textId="77777777" w:rsidR="00513FDF" w:rsidRPr="0035007A" w:rsidRDefault="00513FDF">
      <w:pPr>
        <w:rPr>
          <w:rFonts w:ascii="Arial" w:hAnsi="Arial" w:cs="Arial"/>
        </w:rPr>
      </w:pPr>
    </w:p>
    <w:sectPr w:rsidR="00513FDF" w:rsidRPr="003500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653F61"/>
    <w:multiLevelType w:val="multilevel"/>
    <w:tmpl w:val="7CC03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852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7A"/>
    <w:rsid w:val="000E3D47"/>
    <w:rsid w:val="0035007A"/>
    <w:rsid w:val="00513FDF"/>
    <w:rsid w:val="00BE10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6438"/>
  <w15:chartTrackingRefBased/>
  <w15:docId w15:val="{1861263A-53EC-4DFB-A4D5-E15E6205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3500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paragraph" w:styleId="Ttulo2">
    <w:name w:val="heading 2"/>
    <w:basedOn w:val="Normal"/>
    <w:link w:val="Ttulo2Char"/>
    <w:uiPriority w:val="9"/>
    <w:qFormat/>
    <w:rsid w:val="0035007A"/>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5007A"/>
    <w:rPr>
      <w:rFonts w:ascii="Times New Roman" w:eastAsia="Times New Roman" w:hAnsi="Times New Roman" w:cs="Times New Roman"/>
      <w:b/>
      <w:bCs/>
      <w:kern w:val="36"/>
      <w:sz w:val="48"/>
      <w:szCs w:val="48"/>
      <w:lang w:eastAsia="pt-BR"/>
      <w14:ligatures w14:val="none"/>
    </w:rPr>
  </w:style>
  <w:style w:type="character" w:customStyle="1" w:styleId="Ttulo2Char">
    <w:name w:val="Título 2 Char"/>
    <w:basedOn w:val="Fontepargpadro"/>
    <w:link w:val="Ttulo2"/>
    <w:uiPriority w:val="9"/>
    <w:rsid w:val="0035007A"/>
    <w:rPr>
      <w:rFonts w:ascii="Times New Roman" w:eastAsia="Times New Roman" w:hAnsi="Times New Roman" w:cs="Times New Roman"/>
      <w:b/>
      <w:bCs/>
      <w:kern w:val="0"/>
      <w:sz w:val="36"/>
      <w:szCs w:val="36"/>
      <w:lang w:eastAsia="pt-BR"/>
      <w14:ligatures w14:val="none"/>
    </w:rPr>
  </w:style>
  <w:style w:type="paragraph" w:styleId="NormalWeb">
    <w:name w:val="Normal (Web)"/>
    <w:basedOn w:val="Normal"/>
    <w:uiPriority w:val="99"/>
    <w:semiHidden/>
    <w:unhideWhenUsed/>
    <w:rsid w:val="0035007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3500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099383">
      <w:bodyDiv w:val="1"/>
      <w:marLeft w:val="0"/>
      <w:marRight w:val="0"/>
      <w:marTop w:val="0"/>
      <w:marBottom w:val="0"/>
      <w:divBdr>
        <w:top w:val="none" w:sz="0" w:space="0" w:color="auto"/>
        <w:left w:val="none" w:sz="0" w:space="0" w:color="auto"/>
        <w:bottom w:val="none" w:sz="0" w:space="0" w:color="auto"/>
        <w:right w:val="none" w:sz="0" w:space="0" w:color="auto"/>
      </w:divBdr>
    </w:div>
    <w:div w:id="162935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999</Words>
  <Characters>5395</Characters>
  <Application>Microsoft Office Word</Application>
  <DocSecurity>0</DocSecurity>
  <Lines>44</Lines>
  <Paragraphs>12</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ATA DA REUNIÃO DELIBERATIVA DO GRUPO DE ACOMPANHAMENTO (GA)</vt:lpstr>
      <vt:lpstr>    1. Abertura e verificação de quórum</vt:lpstr>
      <vt:lpstr>    2. Análise da Área Urbana Consolidada</vt:lpstr>
      <vt:lpstr>    3. Análise da Zona de Expansão Urbana</vt:lpstr>
      <vt:lpstr>    4. Organização e metodologia das próximas reuniões</vt:lpstr>
      <vt:lpstr>    5. Encaminhamentos e deliberações</vt:lpstr>
      <vt:lpstr>    6. Encerramento</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2026-08-26T11:40:00Z</dcterms:created>
  <dcterms:modified xsi:type="dcterms:W3CDTF">2026-08-26T12:40:00Z</dcterms:modified>
</cp:coreProperties>
</file>